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A5" w:rsidRDefault="00275B92">
      <w:bookmarkStart w:id="0" w:name="_GoBack"/>
      <w:bookmarkEnd w:id="0"/>
      <w:r>
        <w:rPr>
          <w:b/>
          <w:bCs/>
          <w:noProof/>
          <w:sz w:val="28"/>
          <w:lang w:val="en-GB"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3" cy="1409703"/>
            <wp:effectExtent l="0" t="0" r="0" b="0"/>
            <wp:wrapSquare wrapText="bothSides"/>
            <wp:docPr id="1" name="Picture 4" descr="badge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YORK MINSTER ENGINEERING LEAGUE</w:t>
      </w:r>
    </w:p>
    <w:p w:rsidR="006515A5" w:rsidRDefault="006515A5"/>
    <w:p w:rsidR="006515A5" w:rsidRDefault="00275B92">
      <w:pPr>
        <w:rPr>
          <w:b/>
        </w:rPr>
      </w:pPr>
      <w:r>
        <w:rPr>
          <w:b/>
        </w:rPr>
        <w:t>REFEREE LOW MARK REPORT FORM</w:t>
      </w:r>
    </w:p>
    <w:p w:rsidR="006515A5" w:rsidRDefault="006515A5"/>
    <w:p w:rsidR="006515A5" w:rsidRDefault="006515A5"/>
    <w:p w:rsidR="006515A5" w:rsidRDefault="00275B92">
      <w:pPr>
        <w:ind w:right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CLUB MARKING OF REFEREES</w:t>
      </w:r>
    </w:p>
    <w:p w:rsidR="006515A5" w:rsidRDefault="00275B92">
      <w:pPr>
        <w:ind w:right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THIS FORM MUST BE USED WHEN A MARK OF 60 OR LESS HAS BEEN AWARDED</w:t>
      </w:r>
    </w:p>
    <w:p w:rsidR="006515A5" w:rsidRDefault="006515A5"/>
    <w:p w:rsidR="006515A5" w:rsidRDefault="00275B92">
      <w:pPr>
        <w:ind w:right="180"/>
      </w:pPr>
      <w:r>
        <w:rPr>
          <w:rFonts w:ascii="Tahoma" w:hAnsi="Tahoma" w:cs="Tahoma"/>
          <w:sz w:val="20"/>
          <w:szCs w:val="20"/>
        </w:rPr>
        <w:t xml:space="preserve">Both teams are required to </w:t>
      </w:r>
      <w:r>
        <w:rPr>
          <w:rFonts w:ascii="Tahoma" w:hAnsi="Tahoma" w:cs="Tahoma"/>
          <w:sz w:val="20"/>
          <w:szCs w:val="20"/>
        </w:rPr>
        <w:t xml:space="preserve">award the referee a mark in all matches on a scale of 1-100 based on the guide found in the League Handbook (Rule 13 H ) and must be signed by the </w:t>
      </w:r>
      <w:r>
        <w:rPr>
          <w:rFonts w:ascii="Tahoma" w:hAnsi="Tahoma" w:cs="Tahoma"/>
          <w:b/>
          <w:sz w:val="20"/>
          <w:szCs w:val="20"/>
          <w:u w:val="single"/>
        </w:rPr>
        <w:t>Club Secretary only</w:t>
      </w:r>
      <w:r>
        <w:rPr>
          <w:rFonts w:ascii="Tahoma" w:hAnsi="Tahoma" w:cs="Tahoma"/>
          <w:sz w:val="20"/>
          <w:szCs w:val="20"/>
        </w:rPr>
        <w:t>.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Assessment of Referee</w:t>
      </w:r>
    </w:p>
    <w:p w:rsidR="006515A5" w:rsidRDefault="006515A5">
      <w:pPr>
        <w:ind w:right="180"/>
        <w:jc w:val="center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Match  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 v ……………………………………………………………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…………………………………………………………………………………………………………………………….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Competition 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………………………………………………………………………………………………………………..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Referee ………………………………………………………………………………………………………….…..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Overall control and decision making.</w:t>
      </w: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mark must reflect the referee’s overall </w:t>
      </w:r>
      <w:r>
        <w:rPr>
          <w:rFonts w:ascii="Tahoma" w:hAnsi="Tahoma" w:cs="Tahoma"/>
          <w:sz w:val="20"/>
          <w:szCs w:val="20"/>
        </w:rPr>
        <w:t>level of control, accuracy of decision making and management of and communication with players. When deciding on a mark consideration should be given to such aspects of the referee’s performance as: impartiality, confidence, fitness, positioning, Communica</w:t>
      </w:r>
      <w:r>
        <w:rPr>
          <w:rFonts w:ascii="Tahoma" w:hAnsi="Tahoma" w:cs="Tahoma"/>
          <w:sz w:val="20"/>
          <w:szCs w:val="20"/>
        </w:rPr>
        <w:t>tion skills, use of advantage and handling of major incidents.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2127881</wp:posOffset>
                </wp:positionH>
                <wp:positionV relativeFrom="paragraph">
                  <wp:posOffset>116201</wp:posOffset>
                </wp:positionV>
                <wp:extent cx="595631" cy="236857"/>
                <wp:effectExtent l="0" t="0" r="13969" b="10793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1" cy="236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515A5" w:rsidRDefault="006515A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55pt;margin-top:9.15pt;width:46.9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" strokeweight=".26467mm">
                <v:textbox>
                  <w:txbxContent>
                    <w:p w:rsidR="006515A5" w:rsidRDefault="006515A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Our club awards an overall mark of                     out of 100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</w:pPr>
      <w:r>
        <w:rPr>
          <w:rFonts w:ascii="Tahoma" w:hAnsi="Tahoma" w:cs="Tahoma"/>
          <w:sz w:val="20"/>
          <w:szCs w:val="20"/>
        </w:rPr>
        <w:t xml:space="preserve">When awarding a mark of 60 or less, an explanation must be provided in the box below and </w:t>
      </w:r>
      <w:r>
        <w:rPr>
          <w:rFonts w:ascii="Tahoma" w:hAnsi="Tahoma" w:cs="Tahoma"/>
          <w:b/>
          <w:sz w:val="20"/>
          <w:szCs w:val="20"/>
        </w:rPr>
        <w:t>must be received by the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league</w:t>
      </w:r>
      <w:r>
        <w:rPr>
          <w:rFonts w:ascii="Tahoma" w:hAnsi="Tahoma" w:cs="Tahoma"/>
          <w:b/>
          <w:sz w:val="20"/>
          <w:szCs w:val="20"/>
        </w:rPr>
        <w:t xml:space="preserve"> referees secretary within 5 days of the match.</w:t>
      </w:r>
      <w:r>
        <w:rPr>
          <w:rFonts w:ascii="Tahoma" w:hAnsi="Tahoma" w:cs="Tahoma"/>
          <w:sz w:val="20"/>
          <w:szCs w:val="20"/>
        </w:rPr>
        <w:t xml:space="preserve"> Please ensure comments are constructive and concise, which could help the referee improve future performances. </w:t>
      </w:r>
    </w:p>
    <w:p w:rsidR="006515A5" w:rsidRDefault="00275B92">
      <w:pPr>
        <w:ind w:right="180"/>
        <w:jc w:val="both"/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6619241" cy="2771144"/>
                <wp:effectExtent l="0" t="0" r="10159" b="10156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1" cy="2771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68CCBF" id="Rectangle 2" o:spid="_x0000_s1026" style="position:absolute;margin-left:0;margin-top:.75pt;width:521.2pt;height:218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" strokeweight=".26467mm">
                <v:textbox inset="0,0,0,0"/>
                <w10:wrap anchorx="margin"/>
              </v:rect>
            </w:pict>
          </mc:Fallback>
        </mc:AlternateConten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4626607</wp:posOffset>
                </wp:positionH>
                <wp:positionV relativeFrom="paragraph">
                  <wp:posOffset>6986</wp:posOffset>
                </wp:positionV>
                <wp:extent cx="1371600" cy="304166"/>
                <wp:effectExtent l="0" t="0" r="0" b="634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15A5" w:rsidRDefault="006515A5">
                            <w:pP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64.3pt;margin-top:.55pt;width:108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" stroked="f">
                <v:textbox>
                  <w:txbxContent>
                    <w:p w:rsidR="006515A5" w:rsidRDefault="006515A5">
                      <w:pP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(Signed) …………………………………………………………..  (Secretary)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Club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……………………………………………………………….         Date ……………………………….     </w:t>
      </w: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ind w:right="180"/>
        <w:jc w:val="both"/>
      </w:pPr>
      <w:r>
        <w:rPr>
          <w:rFonts w:ascii="Tahoma" w:hAnsi="Tahoma" w:cs="Tahoma"/>
          <w:sz w:val="20"/>
          <w:szCs w:val="20"/>
        </w:rPr>
        <w:t xml:space="preserve">Please form return this form to the Referee Secretary Colin Atkinson   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York.league@btinternet.com</w:t>
        </w:r>
      </w:hyperlink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p w:rsidR="006515A5" w:rsidRDefault="00275B92">
      <w:pPr>
        <w:jc w:val="center"/>
      </w:pPr>
      <w:r>
        <w:rPr>
          <w:rFonts w:ascii="Arial" w:hAnsi="Arial" w:cs="Arial"/>
          <w:b/>
          <w:bCs/>
        </w:rPr>
        <w:lastRenderedPageBreak/>
        <w:t>Guide To Marking Referees</w:t>
      </w:r>
    </w:p>
    <w:p w:rsidR="006515A5" w:rsidRDefault="00275B92">
      <w:pPr>
        <w:pStyle w:val="BodyText2"/>
      </w:pPr>
      <w:r>
        <w:t xml:space="preserve">The mark awarded </w:t>
      </w:r>
      <w:r>
        <w:t xml:space="preserve">by a club must be based on the referee’s </w:t>
      </w:r>
      <w:r>
        <w:rPr>
          <w:b/>
        </w:rPr>
        <w:t>overall</w:t>
      </w:r>
      <w:r>
        <w:t xml:space="preserve"> performance, It is most important that the mark is awarded fairly and not based upon isolated incidents or previous games.  The referee’s performance should be determined by the table below which should act </w:t>
      </w:r>
      <w:r>
        <w:t xml:space="preserve">as a guide for the overall mark which should fall within the mark range for each standard of performance. </w:t>
      </w:r>
    </w:p>
    <w:p w:rsidR="006515A5" w:rsidRDefault="006515A5">
      <w:pPr>
        <w:pStyle w:val="BodyText2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8385"/>
      </w:tblGrid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pStyle w:val="Heading2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>Mark Range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Comment</w:t>
            </w:r>
          </w:p>
          <w:p w:rsidR="006515A5" w:rsidRDefault="006515A5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91-100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referee was extremely accurate in decision making and very successfully controlled the game using management and </w:t>
            </w:r>
            <w:r>
              <w:rPr>
                <w:rFonts w:ascii="Arial" w:hAnsi="Arial" w:cs="Arial"/>
                <w:sz w:val="20"/>
              </w:rPr>
              <w:t xml:space="preserve">communication skills to create an environment of fair play, adding real value to the game.  </w:t>
            </w:r>
          </w:p>
        </w:tc>
      </w:tr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81-90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referee was very accurate in decision making and successfully controlled the game using management and communication skills to create an environment of </w:t>
            </w:r>
            <w:r>
              <w:rPr>
                <w:rFonts w:ascii="Arial" w:hAnsi="Arial" w:cs="Arial"/>
                <w:sz w:val="20"/>
              </w:rPr>
              <w:t xml:space="preserve">fair play.  </w:t>
            </w:r>
          </w:p>
        </w:tc>
      </w:tr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71-80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referee was accurate in decision making and controlled the game well, communicating with the players, making a positive contribution towards fair play.</w:t>
            </w:r>
          </w:p>
        </w:tc>
      </w:tr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61-70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referee was reasonably accurate in decision making, controlled the </w:t>
            </w:r>
            <w:r>
              <w:rPr>
                <w:rFonts w:ascii="Arial" w:hAnsi="Arial" w:cs="Arial"/>
                <w:sz w:val="20"/>
              </w:rPr>
              <w:t xml:space="preserve">game quite well and communicated with players, establishing a reasonable degree of fair play.   </w:t>
            </w:r>
          </w:p>
        </w:tc>
      </w:tr>
      <w:tr w:rsidR="006515A5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51-60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referee had some shortcomings in the level of accuracy of decision making and control, with only limited success in communicating with the players r</w:t>
            </w:r>
            <w:r>
              <w:rPr>
                <w:rFonts w:ascii="Arial" w:hAnsi="Arial" w:cs="Arial"/>
                <w:sz w:val="20"/>
              </w:rPr>
              <w:t xml:space="preserve">esulting in variable fair play. </w:t>
            </w:r>
          </w:p>
        </w:tc>
      </w:tr>
      <w:tr w:rsidR="006515A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:rsidR="006515A5" w:rsidRDefault="00275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below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A5" w:rsidRDefault="00275B92">
            <w:pPr>
              <w:spacing w:before="20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referee had significant shortcomings in the level of accuracy of decision making and control with poor communication with the players which resulted in low levels of fair play </w:t>
            </w:r>
          </w:p>
        </w:tc>
      </w:tr>
    </w:tbl>
    <w:p w:rsidR="006515A5" w:rsidRDefault="006515A5">
      <w:pPr>
        <w:jc w:val="both"/>
        <w:rPr>
          <w:rFonts w:ascii="Arial" w:hAnsi="Arial" w:cs="Arial"/>
        </w:rPr>
      </w:pPr>
    </w:p>
    <w:p w:rsidR="006515A5" w:rsidRDefault="00275B9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Notes</w:t>
      </w:r>
    </w:p>
    <w:p w:rsidR="006515A5" w:rsidRDefault="006515A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6515A5" w:rsidRDefault="00275B92">
      <w:pPr>
        <w:pStyle w:val="BodyText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Using a scale of  </w:t>
      </w:r>
      <w:r>
        <w:rPr>
          <w:sz w:val="20"/>
          <w:szCs w:val="20"/>
        </w:rPr>
        <w:t>up to 100 allows greater flexibility for clubs to distinguish between different refereeing performances more accurately.</w:t>
      </w:r>
    </w:p>
    <w:p w:rsidR="006515A5" w:rsidRDefault="006515A5">
      <w:pPr>
        <w:pStyle w:val="BodyText2"/>
        <w:ind w:left="360"/>
        <w:rPr>
          <w:sz w:val="20"/>
          <w:szCs w:val="20"/>
        </w:rPr>
      </w:pPr>
    </w:p>
    <w:p w:rsidR="006515A5" w:rsidRDefault="00275B92">
      <w:pPr>
        <w:pStyle w:val="BodyText2"/>
        <w:numPr>
          <w:ilvl w:val="0"/>
          <w:numId w:val="1"/>
        </w:numPr>
      </w:pPr>
      <w:r>
        <w:rPr>
          <w:sz w:val="20"/>
          <w:szCs w:val="20"/>
        </w:rPr>
        <w:t xml:space="preserve">A mark </w:t>
      </w:r>
      <w:r>
        <w:rPr>
          <w:sz w:val="20"/>
          <w:szCs w:val="20"/>
          <w:u w:val="single"/>
        </w:rPr>
        <w:t>within</w:t>
      </w:r>
      <w:r>
        <w:rPr>
          <w:sz w:val="20"/>
          <w:szCs w:val="20"/>
        </w:rPr>
        <w:t xml:space="preserve"> each mark range can be given to reflect the referee’s performance e.g. a mark of 79 indicates a somewhat better performa</w:t>
      </w:r>
      <w:r>
        <w:rPr>
          <w:sz w:val="20"/>
          <w:szCs w:val="20"/>
        </w:rPr>
        <w:t>nce than a mark of 71.</w:t>
      </w:r>
    </w:p>
    <w:p w:rsidR="006515A5" w:rsidRDefault="006515A5">
      <w:pPr>
        <w:jc w:val="both"/>
        <w:rPr>
          <w:rFonts w:ascii="Arial" w:hAnsi="Arial" w:cs="Arial"/>
          <w:sz w:val="20"/>
          <w:szCs w:val="20"/>
        </w:rPr>
      </w:pPr>
    </w:p>
    <w:p w:rsidR="006515A5" w:rsidRDefault="00275B92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Arial" w:hAnsi="Arial" w:cs="Arial"/>
          <w:b/>
          <w:sz w:val="20"/>
          <w:szCs w:val="20"/>
        </w:rPr>
        <w:t>A mark between 71 and 80 represents the standard of refereeing expected</w:t>
      </w:r>
      <w:r>
        <w:rPr>
          <w:rFonts w:ascii="Arial" w:hAnsi="Arial" w:cs="Arial"/>
          <w:sz w:val="20"/>
          <w:szCs w:val="20"/>
        </w:rPr>
        <w:t>.</w:t>
      </w:r>
    </w:p>
    <w:p w:rsidR="006515A5" w:rsidRDefault="006515A5">
      <w:pPr>
        <w:jc w:val="both"/>
        <w:rPr>
          <w:rFonts w:ascii="Arial" w:hAnsi="Arial" w:cs="Arial"/>
          <w:sz w:val="20"/>
          <w:szCs w:val="20"/>
        </w:rPr>
      </w:pPr>
    </w:p>
    <w:p w:rsidR="006515A5" w:rsidRDefault="00275B92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When a mark of </w:t>
      </w:r>
      <w:r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or less is awarded, a written explanation must be provided to the League or Competition by completing the appropriate box on the marking for</w:t>
      </w:r>
      <w:r>
        <w:rPr>
          <w:rFonts w:ascii="Arial" w:hAnsi="Arial" w:cs="Arial"/>
          <w:sz w:val="20"/>
          <w:szCs w:val="20"/>
        </w:rPr>
        <w:t xml:space="preserve">m. </w:t>
      </w:r>
      <w:r>
        <w:rPr>
          <w:rFonts w:ascii="Arial" w:hAnsi="Arial" w:cs="Arial"/>
          <w:sz w:val="20"/>
          <w:szCs w:val="20"/>
          <w:u w:val="single"/>
        </w:rPr>
        <w:t>It must include comments which could help improve the referee’s future performances.</w:t>
      </w:r>
      <w:r>
        <w:rPr>
          <w:rFonts w:ascii="Arial" w:hAnsi="Arial" w:cs="Arial"/>
          <w:sz w:val="20"/>
          <w:szCs w:val="20"/>
        </w:rPr>
        <w:t xml:space="preserve"> Even where a referee has significant shortcomings there will have been some positive aspects which should be given credit; extremely low marks (below 20) should be very</w:t>
      </w:r>
      <w:r>
        <w:rPr>
          <w:rFonts w:ascii="Arial" w:hAnsi="Arial" w:cs="Arial"/>
          <w:sz w:val="20"/>
          <w:szCs w:val="20"/>
        </w:rPr>
        <w:t xml:space="preserve"> rare.</w:t>
      </w:r>
    </w:p>
    <w:p w:rsidR="006515A5" w:rsidRDefault="006515A5">
      <w:pPr>
        <w:pStyle w:val="ListParagraph"/>
        <w:rPr>
          <w:rFonts w:ascii="Arial" w:hAnsi="Arial" w:cs="Arial"/>
          <w:u w:val="single"/>
        </w:rPr>
      </w:pPr>
    </w:p>
    <w:p w:rsidR="006515A5" w:rsidRDefault="00275B92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Clubs are advised that failure to provide the explanation in writing in 5 days will be fined in accordance with Rule 13 (H).</w:t>
      </w:r>
    </w:p>
    <w:p w:rsidR="006515A5" w:rsidRDefault="006515A5">
      <w:pPr>
        <w:jc w:val="both"/>
        <w:rPr>
          <w:rFonts w:ascii="Arial" w:hAnsi="Arial" w:cs="Arial"/>
          <w:u w:val="single"/>
        </w:rPr>
      </w:pPr>
    </w:p>
    <w:p w:rsidR="006515A5" w:rsidRDefault="006515A5">
      <w:pPr>
        <w:pStyle w:val="BodyText2"/>
      </w:pPr>
    </w:p>
    <w:p w:rsidR="006515A5" w:rsidRDefault="006515A5">
      <w:pPr>
        <w:ind w:right="180"/>
        <w:jc w:val="both"/>
        <w:rPr>
          <w:rFonts w:ascii="Tahoma" w:hAnsi="Tahoma" w:cs="Tahoma"/>
          <w:sz w:val="20"/>
          <w:szCs w:val="20"/>
        </w:rPr>
      </w:pPr>
    </w:p>
    <w:sectPr w:rsidR="006515A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92" w:rsidRDefault="00275B92">
      <w:r>
        <w:separator/>
      </w:r>
    </w:p>
  </w:endnote>
  <w:endnote w:type="continuationSeparator" w:id="0">
    <w:p w:rsidR="00275B92" w:rsidRDefault="002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92" w:rsidRDefault="00275B92">
      <w:r>
        <w:rPr>
          <w:color w:val="000000"/>
        </w:rPr>
        <w:separator/>
      </w:r>
    </w:p>
  </w:footnote>
  <w:footnote w:type="continuationSeparator" w:id="0">
    <w:p w:rsidR="00275B92" w:rsidRDefault="0027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67729"/>
    <w:multiLevelType w:val="multilevel"/>
    <w:tmpl w:val="402A1D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15A5"/>
    <w:rsid w:val="00275B92"/>
    <w:rsid w:val="006515A5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21AF3-4F78-433D-A58C-05E38F0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pPr>
      <w:keepNext/>
      <w:tabs>
        <w:tab w:val="left" w:pos="1260"/>
        <w:tab w:val="left" w:pos="2880"/>
        <w:tab w:val="left" w:pos="5760"/>
        <w:tab w:val="left" w:pos="7020"/>
      </w:tabs>
      <w:suppressAutoHyphens w:val="0"/>
      <w:ind w:left="720" w:hanging="720"/>
      <w:jc w:val="center"/>
      <w:textAlignment w:val="auto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i/>
      <w:sz w:val="24"/>
      <w:szCs w:val="24"/>
    </w:rPr>
  </w:style>
  <w:style w:type="paragraph" w:styleId="BodyText2">
    <w:name w:val="Body Text 2"/>
    <w:basedOn w:val="Normal"/>
    <w:pPr>
      <w:tabs>
        <w:tab w:val="left" w:pos="90"/>
      </w:tabs>
      <w:suppressAutoHyphens w:val="0"/>
      <w:jc w:val="both"/>
      <w:textAlignment w:val="auto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rPr>
      <w:rFonts w:ascii="Arial" w:eastAsia="Times New Roman" w:hAnsi="Arial"/>
      <w:sz w:val="16"/>
      <w:szCs w:val="24"/>
    </w:rPr>
  </w:style>
  <w:style w:type="paragraph" w:styleId="ListParagraph">
    <w:name w:val="List Paragraph"/>
    <w:basedOn w:val="Normal"/>
    <w:pPr>
      <w:suppressAutoHyphens w:val="0"/>
      <w:ind w:left="72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.league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Atkinson</dc:creator>
  <dc:description/>
  <cp:lastModifiedBy>Colin Atkinson</cp:lastModifiedBy>
  <cp:revision>2</cp:revision>
  <dcterms:created xsi:type="dcterms:W3CDTF">2016-03-18T16:51:00Z</dcterms:created>
  <dcterms:modified xsi:type="dcterms:W3CDTF">2016-03-18T16:51:00Z</dcterms:modified>
</cp:coreProperties>
</file>